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 xml:space="preserve">taff, </w:t>
      </w:r>
      <w:r w:rsidR="00000023" w:rsidRPr="0052301B">
        <w:rPr>
          <w:rFonts w:ascii="Arial" w:hAnsi="Arial" w:cs="Arial"/>
          <w:sz w:val="22"/>
          <w:szCs w:val="22"/>
        </w:rPr>
        <w:t>parent</w:t>
      </w:r>
      <w:r w:rsidR="293AF1BD" w:rsidRPr="0052301B">
        <w:rPr>
          <w:rFonts w:ascii="Arial" w:hAnsi="Arial" w:cs="Arial"/>
          <w:sz w:val="22"/>
          <w:szCs w:val="22"/>
        </w:rPr>
        <w:t>, carer</w:t>
      </w:r>
      <w:r w:rsidR="00000023" w:rsidRPr="0052301B">
        <w:rPr>
          <w:rFonts w:ascii="Arial" w:hAnsi="Arial" w:cs="Arial"/>
          <w:sz w:val="22"/>
          <w:szCs w:val="22"/>
        </w:rPr>
        <w:t xml:space="preserve"> or visitor mugged or </w:t>
      </w:r>
      <w:r w:rsidR="00000023" w:rsidRPr="0D63DE83">
        <w:rPr>
          <w:rFonts w:ascii="Arial" w:hAnsi="Arial" w:cs="Arial"/>
          <w:sz w:val="22"/>
          <w:szCs w:val="22"/>
        </w:rPr>
        <w:t>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10F34B65" w:rsidR="008F63B4" w:rsidRPr="0052301B" w:rsidRDefault="008F63B4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2301B">
        <w:rPr>
          <w:rFonts w:ascii="Arial" w:hAnsi="Arial" w:cs="Arial"/>
          <w:b/>
          <w:bCs/>
          <w:sz w:val="22"/>
          <w:szCs w:val="22"/>
        </w:rPr>
        <w:t>The designated</w:t>
      </w:r>
      <w:r w:rsidR="00006D0C" w:rsidRPr="0052301B">
        <w:rPr>
          <w:rFonts w:ascii="Arial" w:hAnsi="Arial" w:cs="Arial"/>
          <w:b/>
          <w:bCs/>
          <w:sz w:val="22"/>
          <w:szCs w:val="22"/>
        </w:rPr>
        <w:t xml:space="preserve"> health and safety officer</w:t>
      </w:r>
      <w:r w:rsidR="0052301B">
        <w:rPr>
          <w:rFonts w:ascii="Arial" w:hAnsi="Arial" w:cs="Arial"/>
          <w:b/>
          <w:bCs/>
          <w:sz w:val="22"/>
          <w:szCs w:val="22"/>
        </w:rPr>
        <w:t xml:space="preserve"> is </w:t>
      </w:r>
      <w:r w:rsidR="0052301B" w:rsidRPr="0052301B">
        <w:rPr>
          <w:rFonts w:ascii="Arial" w:hAnsi="Arial" w:cs="Arial"/>
          <w:b/>
          <w:bCs/>
          <w:sz w:val="22"/>
          <w:szCs w:val="22"/>
        </w:rPr>
        <w:t>Louise Pike</w:t>
      </w:r>
      <w:r w:rsidR="0052301B">
        <w:rPr>
          <w:rFonts w:ascii="Arial" w:hAnsi="Arial" w:cs="Arial"/>
          <w:b/>
          <w:bCs/>
          <w:sz w:val="22"/>
          <w:szCs w:val="22"/>
        </w:rPr>
        <w:t>, and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67F5953" w:rsidR="00000023" w:rsidRPr="0052301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301B">
        <w:rPr>
          <w:rFonts w:ascii="Arial" w:hAnsi="Arial" w:cs="Arial"/>
          <w:sz w:val="22"/>
          <w:szCs w:val="22"/>
        </w:rPr>
        <w:t>risk assess the situation and decide</w:t>
      </w:r>
      <w:r w:rsidR="007A70D4" w:rsidRPr="0052301B">
        <w:rPr>
          <w:rFonts w:ascii="Arial" w:hAnsi="Arial" w:cs="Arial"/>
          <w:sz w:val="22"/>
          <w:szCs w:val="22"/>
        </w:rPr>
        <w:t>s, with the owners,</w:t>
      </w:r>
      <w:r w:rsidRPr="0052301B">
        <w:rPr>
          <w:rFonts w:ascii="Arial" w:hAnsi="Arial" w:cs="Arial"/>
          <w:sz w:val="22"/>
          <w:szCs w:val="22"/>
        </w:rPr>
        <w:t xml:space="preserve"> if the premises are safe to receive children before any children </w:t>
      </w:r>
      <w:r w:rsidR="00350A3C" w:rsidRPr="0052301B">
        <w:rPr>
          <w:rFonts w:ascii="Arial" w:hAnsi="Arial" w:cs="Arial"/>
          <w:sz w:val="22"/>
          <w:szCs w:val="22"/>
        </w:rPr>
        <w:t>arrive</w:t>
      </w:r>
      <w:r w:rsidR="007A70D4" w:rsidRPr="0052301B">
        <w:rPr>
          <w:rFonts w:ascii="Arial" w:hAnsi="Arial" w:cs="Arial"/>
          <w:sz w:val="22"/>
          <w:szCs w:val="22"/>
        </w:rPr>
        <w:t xml:space="preserve"> or to </w:t>
      </w:r>
      <w:r w:rsidRPr="0052301B">
        <w:rPr>
          <w:rFonts w:ascii="Arial" w:hAnsi="Arial" w:cs="Arial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29F6F8DE" w14:textId="037C75BB" w:rsidR="00390436" w:rsidRDefault="0052301B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Children are taken by staff through the fire door or any other door that may be nearest to exit the building.</w:t>
            </w:r>
          </w:p>
          <w:p w14:paraId="6CCD32F4" w14:textId="77777777" w:rsidR="0052301B" w:rsidRDefault="0052301B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Everyone will then proceed along the High Street to the </w:t>
            </w:r>
            <w:r w:rsidRPr="009A537F">
              <w:rPr>
                <w:rFonts w:ascii="Arial" w:hAnsi="Arial" w:cs="Arial"/>
                <w:b/>
                <w:i/>
                <w:sz w:val="22"/>
                <w:szCs w:val="22"/>
              </w:rPr>
              <w:t>Millennium Gardens square area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14:paraId="760A0E46" w14:textId="5DD87FA4" w:rsidR="0052301B" w:rsidRDefault="0052301B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A staff member will then check all children, staff and visitors are present.</w:t>
            </w:r>
          </w:p>
          <w:p w14:paraId="322A01AC" w14:textId="77777777" w:rsidR="0052301B" w:rsidRDefault="0052301B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Emergency services will be called ASAP</w:t>
            </w:r>
            <w:r w:rsidR="009A537F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14:paraId="5CE79102" w14:textId="002D216F" w:rsidR="009A537F" w:rsidRPr="00390436" w:rsidRDefault="009A537F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In the event of a gas le</w:t>
            </w:r>
            <w:r w:rsidR="00497A03">
              <w:rPr>
                <w:rFonts w:ascii="Arial" w:hAnsi="Arial" w:cs="Arial"/>
                <w:bCs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k evacuation, staff and children evacuate to </w:t>
            </w:r>
            <w:r w:rsidRPr="009A537F">
              <w:rPr>
                <w:rFonts w:ascii="Arial" w:hAnsi="Arial" w:cs="Arial"/>
                <w:b/>
                <w:i/>
                <w:sz w:val="22"/>
                <w:szCs w:val="22"/>
              </w:rPr>
              <w:t>Blunsdon Community Village Shop and Café.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1DEFB50B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A </w:t>
      </w:r>
      <w:r w:rsidRPr="0052301B">
        <w:rPr>
          <w:rFonts w:ascii="Arial" w:hAnsi="Arial" w:cs="Arial"/>
          <w:sz w:val="22"/>
          <w:szCs w:val="22"/>
        </w:rPr>
        <w:t>parent</w:t>
      </w:r>
      <w:r w:rsidR="005918B6" w:rsidRPr="0052301B">
        <w:rPr>
          <w:rFonts w:ascii="Arial" w:hAnsi="Arial" w:cs="Arial"/>
          <w:sz w:val="22"/>
          <w:szCs w:val="22"/>
        </w:rPr>
        <w:t>/carer</w:t>
      </w:r>
      <w:r w:rsidRPr="0052301B">
        <w:rPr>
          <w:rFonts w:ascii="Arial" w:hAnsi="Arial" w:cs="Arial"/>
          <w:sz w:val="22"/>
          <w:szCs w:val="22"/>
        </w:rPr>
        <w:t xml:space="preserve"> makes </w:t>
      </w:r>
      <w:r w:rsidRPr="0D63DE83">
        <w:rPr>
          <w:rFonts w:ascii="Arial" w:hAnsi="Arial" w:cs="Arial"/>
          <w:sz w:val="22"/>
          <w:szCs w:val="22"/>
        </w:rPr>
        <w:t>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>the childminder agenc</w:t>
      </w:r>
      <w:r w:rsidR="5923C411" w:rsidRPr="0D63DE83">
        <w:rPr>
          <w:rFonts w:ascii="Arial" w:hAnsi="Arial" w:cs="Arial"/>
          <w:color w:val="FF0000"/>
          <w:sz w:val="22"/>
          <w:szCs w:val="22"/>
        </w:rPr>
        <w:t>y,</w:t>
      </w:r>
      <w:r w:rsidRPr="0D63DE83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D596" w14:textId="77777777" w:rsidR="00B57C74" w:rsidRDefault="00B57C74">
      <w:r>
        <w:separator/>
      </w:r>
    </w:p>
  </w:endnote>
  <w:endnote w:type="continuationSeparator" w:id="0">
    <w:p w14:paraId="5DB3E0BC" w14:textId="77777777" w:rsidR="00B57C74" w:rsidRDefault="00B57C74">
      <w:r>
        <w:continuationSeparator/>
      </w:r>
    </w:p>
  </w:endnote>
  <w:endnote w:type="continuationNotice" w:id="1">
    <w:p w14:paraId="0F0D97AA" w14:textId="77777777" w:rsidR="00B57C74" w:rsidRDefault="00B57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52301B" w:rsidRDefault="0D63DE83" w:rsidP="0D63DE83">
    <w:pPr>
      <w:pStyle w:val="Footer"/>
      <w:rPr>
        <w:rFonts w:ascii="Arial" w:hAnsi="Arial" w:cs="Arial"/>
        <w:i/>
        <w:iCs/>
        <w:sz w:val="20"/>
      </w:rPr>
    </w:pPr>
    <w:r w:rsidRPr="0052301B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FF77" w14:textId="77777777" w:rsidR="00B57C74" w:rsidRDefault="00B57C74">
      <w:r>
        <w:separator/>
      </w:r>
    </w:p>
  </w:footnote>
  <w:footnote w:type="continuationSeparator" w:id="0">
    <w:p w14:paraId="0565AFB2" w14:textId="77777777" w:rsidR="00B57C74" w:rsidRDefault="00B57C74">
      <w:r>
        <w:continuationSeparator/>
      </w:r>
    </w:p>
  </w:footnote>
  <w:footnote w:type="continuationNotice" w:id="1">
    <w:p w14:paraId="2E92D5CE" w14:textId="77777777" w:rsidR="00B57C74" w:rsidRDefault="00B57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7A03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2301B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1CCF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37F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4244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18</cp:revision>
  <cp:lastPrinted>2025-09-12T11:04:00Z</cp:lastPrinted>
  <dcterms:created xsi:type="dcterms:W3CDTF">2024-01-31T10:20:00Z</dcterms:created>
  <dcterms:modified xsi:type="dcterms:W3CDTF">2025-09-12T11:05:00Z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