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B3A52DA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5C21EC">
        <w:rPr>
          <w:rFonts w:ascii="Arial" w:hAnsi="Arial" w:cs="Arial"/>
          <w:sz w:val="22"/>
          <w:szCs w:val="22"/>
        </w:rPr>
        <w:t xml:space="preserve">on our </w:t>
      </w:r>
      <w:proofErr w:type="spellStart"/>
      <w:r w:rsidR="005C21EC">
        <w:rPr>
          <w:rFonts w:ascii="Arial" w:hAnsi="Arial" w:cs="Arial"/>
          <w:sz w:val="22"/>
          <w:szCs w:val="22"/>
        </w:rPr>
        <w:t>Famly</w:t>
      </w:r>
      <w:proofErr w:type="spellEnd"/>
      <w:r w:rsidR="005C21EC">
        <w:rPr>
          <w:rFonts w:ascii="Arial" w:hAnsi="Arial" w:cs="Arial"/>
          <w:sz w:val="22"/>
          <w:szCs w:val="22"/>
        </w:rPr>
        <w:t xml:space="preserve"> app.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1E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A72C4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c3b80c5-640a-4874-b78c-e0b0a16b43ff"/>
    <ds:schemaRef ds:uri="http://schemas.microsoft.com/office/2006/documentManagement/types"/>
    <ds:schemaRef ds:uri="http://purl.org/dc/elements/1.1/"/>
    <ds:schemaRef ds:uri="http://purl.org/dc/terms/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7</cp:revision>
  <cp:lastPrinted>2025-10-02T14:57:00Z</cp:lastPrinted>
  <dcterms:created xsi:type="dcterms:W3CDTF">2024-01-03T13:33:00Z</dcterms:created>
  <dcterms:modified xsi:type="dcterms:W3CDTF">2025-10-02T14:58:00Z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