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085C" w14:textId="77777777" w:rsidR="005F2787" w:rsidRDefault="005F2787" w:rsidP="005F2787">
      <w:pPr>
        <w:spacing w:before="120" w:after="120" w:line="360" w:lineRule="auto"/>
        <w:jc w:val="center"/>
        <w:rPr>
          <w:rFonts w:ascii="Arial" w:hAnsi="Arial" w:cs="Arial"/>
          <w:bCs/>
          <w:sz w:val="28"/>
          <w:szCs w:val="28"/>
        </w:rPr>
      </w:pPr>
      <w:r>
        <w:rPr>
          <w:noProof/>
        </w:rPr>
        <w:drawing>
          <wp:inline distT="0" distB="0" distL="0" distR="0" wp14:anchorId="47C773C1" wp14:editId="49B0962B">
            <wp:extent cx="1457325" cy="13335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l="7387" t="24522" r="8977" b="6039"/>
                    <a:stretch>
                      <a:fillRect/>
                    </a:stretch>
                  </pic:blipFill>
                  <pic:spPr bwMode="auto">
                    <a:xfrm>
                      <a:off x="0" y="0"/>
                      <a:ext cx="1457325" cy="1333500"/>
                    </a:xfrm>
                    <a:prstGeom prst="rect">
                      <a:avLst/>
                    </a:prstGeom>
                    <a:noFill/>
                    <a:ln>
                      <a:noFill/>
                    </a:ln>
                  </pic:spPr>
                </pic:pic>
              </a:graphicData>
            </a:graphic>
          </wp:inline>
        </w:drawing>
      </w:r>
    </w:p>
    <w:p w14:paraId="5E5D0128" w14:textId="6785254E"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t>Childcare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152AF592" w:rsidR="00956423" w:rsidRPr="00085A01" w:rsidRDefault="005F2787" w:rsidP="00085A01">
      <w:pPr>
        <w:spacing w:before="120" w:after="120" w:line="360" w:lineRule="auto"/>
        <w:rPr>
          <w:rFonts w:ascii="Arial" w:hAnsi="Arial" w:cs="Arial"/>
          <w:bCs/>
          <w:iCs/>
          <w:sz w:val="22"/>
          <w:szCs w:val="22"/>
        </w:rPr>
      </w:pPr>
      <w:r>
        <w:rPr>
          <w:rFonts w:ascii="Arial" w:hAnsi="Arial" w:cs="Arial"/>
          <w:bCs/>
          <w:iCs/>
          <w:sz w:val="22"/>
          <w:szCs w:val="22"/>
        </w:rPr>
        <w:t>Y</w:t>
      </w:r>
      <w:r w:rsidR="003F5469" w:rsidRPr="00085A01">
        <w:rPr>
          <w:rFonts w:ascii="Arial" w:hAnsi="Arial" w:cs="Arial"/>
          <w:bCs/>
          <w:iCs/>
          <w:sz w:val="22"/>
          <w:szCs w:val="22"/>
        </w:rPr>
        <w:t>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277DB324"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 xml:space="preserve">is allocated a key person </w:t>
      </w:r>
      <w:r w:rsidR="00A10ED7">
        <w:rPr>
          <w:rFonts w:ascii="Arial" w:hAnsi="Arial" w:cs="Arial"/>
          <w:sz w:val="22"/>
          <w:szCs w:val="22"/>
        </w:rPr>
        <w:t>as</w:t>
      </w:r>
      <w:r w:rsidRPr="00085A01">
        <w:rPr>
          <w:rFonts w:ascii="Arial" w:hAnsi="Arial" w:cs="Arial"/>
          <w:sz w:val="22"/>
          <w:szCs w:val="22"/>
        </w:rPr>
        <w:t xml:space="preserve"> they </w:t>
      </w:r>
      <w:r w:rsidR="00A10ED7">
        <w:rPr>
          <w:rFonts w:ascii="Arial" w:hAnsi="Arial" w:cs="Arial"/>
          <w:sz w:val="22"/>
          <w:szCs w:val="22"/>
        </w:rPr>
        <w:t xml:space="preserve">are </w:t>
      </w:r>
      <w:r w:rsidRPr="00085A01">
        <w:rPr>
          <w:rFonts w:ascii="Arial" w:hAnsi="Arial" w:cs="Arial"/>
          <w:sz w:val="22"/>
          <w:szCs w:val="22"/>
        </w:rPr>
        <w:t>settling in</w:t>
      </w:r>
      <w:r w:rsidR="00A10ED7">
        <w:rPr>
          <w:rFonts w:ascii="Arial" w:hAnsi="Arial" w:cs="Arial"/>
          <w:sz w:val="22"/>
          <w:szCs w:val="22"/>
        </w:rPr>
        <w:t>.</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5BE80EA6"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w:t>
      </w:r>
      <w:r w:rsidR="00A10ED7">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4918D62A"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2D04A3B7" w:rsidR="00C13CAB" w:rsidRPr="00085A01" w:rsidRDefault="00A10ED7" w:rsidP="00085A01">
      <w:pPr>
        <w:numPr>
          <w:ilvl w:val="0"/>
          <w:numId w:val="1"/>
        </w:numPr>
        <w:spacing w:before="120" w:after="120" w:line="360" w:lineRule="auto"/>
        <w:ind w:left="360" w:hanging="360"/>
        <w:rPr>
          <w:rFonts w:ascii="Arial" w:hAnsi="Arial" w:cs="Arial"/>
          <w:sz w:val="22"/>
          <w:szCs w:val="22"/>
        </w:rPr>
      </w:pPr>
      <w:r>
        <w:rPr>
          <w:rFonts w:ascii="Arial" w:hAnsi="Arial" w:cs="Arial"/>
          <w:sz w:val="22"/>
          <w:szCs w:val="22"/>
        </w:rPr>
        <w:t>A list</w:t>
      </w:r>
      <w:r w:rsidR="005D067D" w:rsidRPr="00085A01">
        <w:rPr>
          <w:rFonts w:ascii="Arial" w:hAnsi="Arial" w:cs="Arial"/>
          <w:sz w:val="22"/>
          <w:szCs w:val="22"/>
        </w:rPr>
        <w:t xml:space="preserve">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0FCCEEA6" w:rsidR="00575FC0" w:rsidRPr="00085A01"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sectPr w:rsidR="00575FC0" w:rsidRPr="00085A01" w:rsidSect="002F4FFB">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5085" w14:textId="77777777" w:rsidR="00946547" w:rsidRDefault="00946547" w:rsidP="003C7A9F">
      <w:r>
        <w:separator/>
      </w:r>
    </w:p>
  </w:endnote>
  <w:endnote w:type="continuationSeparator" w:id="0">
    <w:p w14:paraId="48CD9722" w14:textId="77777777" w:rsidR="00946547" w:rsidRDefault="0094654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F44B" w14:textId="77777777" w:rsidR="00946547" w:rsidRDefault="00946547" w:rsidP="003C7A9F">
      <w:r>
        <w:separator/>
      </w:r>
    </w:p>
  </w:footnote>
  <w:footnote w:type="continuationSeparator" w:id="0">
    <w:p w14:paraId="30393716" w14:textId="77777777" w:rsidR="00946547" w:rsidRDefault="0094654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2787"/>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46547"/>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0ED7"/>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0EBD"/>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4</cp:revision>
  <cp:lastPrinted>2018-05-03T18:57:00Z</cp:lastPrinted>
  <dcterms:created xsi:type="dcterms:W3CDTF">2021-10-12T10:33:00Z</dcterms:created>
  <dcterms:modified xsi:type="dcterms:W3CDTF">2022-03-08T10:37:00Z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