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1AE2E8A4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Pr="0049232B">
        <w:rPr>
          <w:b w:val="0"/>
          <w:i/>
          <w:iCs/>
          <w:sz w:val="22"/>
          <w:szCs w:val="22"/>
        </w:rPr>
        <w:t>[insert name of provision]</w:t>
      </w:r>
      <w:r w:rsidRPr="0049232B">
        <w:rPr>
          <w:b w:val="0"/>
          <w:sz w:val="22"/>
          <w:szCs w:val="22"/>
        </w:rPr>
        <w:t xml:space="preserve"> on </w:t>
      </w:r>
      <w:r w:rsidRPr="0049232B">
        <w:rPr>
          <w:b w:val="0"/>
          <w:i/>
          <w:iCs/>
          <w:sz w:val="22"/>
          <w:szCs w:val="22"/>
        </w:rPr>
        <w:t>[inset date]</w:t>
      </w:r>
      <w:r>
        <w:rPr>
          <w:b w:val="0"/>
          <w:sz w:val="22"/>
          <w:szCs w:val="22"/>
        </w:rPr>
        <w:t>.</w:t>
      </w:r>
    </w:p>
    <w:p w14:paraId="6567D915" w14:textId="77777777" w:rsidR="002F7166" w:rsidRPr="00DF2474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71B06EEC" w:rsidR="009D08F3" w:rsidRDefault="00DF247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F2474">
        <w:rPr>
          <w:rFonts w:ascii="Arial" w:hAnsi="Arial" w:cs="Arial"/>
          <w:sz w:val="22"/>
          <w:szCs w:val="22"/>
        </w:rPr>
        <w:t>Blunsdon Preschool a</w:t>
      </w:r>
      <w:r w:rsidR="009D08F3" w:rsidRPr="00DF2474">
        <w:rPr>
          <w:rFonts w:ascii="Arial" w:hAnsi="Arial" w:cs="Arial"/>
          <w:sz w:val="22"/>
          <w:szCs w:val="22"/>
        </w:rPr>
        <w:t>ctively promote partnership with parents</w:t>
      </w:r>
      <w:r w:rsidR="00411B38" w:rsidRPr="00DF2474">
        <w:rPr>
          <w:rFonts w:ascii="Arial" w:hAnsi="Arial" w:cs="Arial"/>
          <w:sz w:val="22"/>
          <w:szCs w:val="22"/>
        </w:rPr>
        <w:t>/carers</w:t>
      </w:r>
      <w:r w:rsidR="009D08F3" w:rsidRPr="00DF2474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00DF2474">
        <w:rPr>
          <w:rFonts w:ascii="Arial" w:hAnsi="Arial" w:cs="Arial"/>
          <w:sz w:val="22"/>
          <w:szCs w:val="22"/>
        </w:rPr>
        <w:t>/carers</w:t>
      </w:r>
      <w:r w:rsidR="009D08F3" w:rsidRPr="00DF2474">
        <w:rPr>
          <w:rFonts w:ascii="Arial" w:hAnsi="Arial" w:cs="Arial"/>
          <w:sz w:val="22"/>
          <w:szCs w:val="22"/>
        </w:rPr>
        <w:t xml:space="preserve"> to support </w:t>
      </w:r>
      <w:r w:rsidR="009D08F3" w:rsidRPr="398EF1FB">
        <w:rPr>
          <w:rFonts w:ascii="Arial" w:hAnsi="Arial" w:cs="Arial"/>
          <w:sz w:val="22"/>
          <w:szCs w:val="22"/>
        </w:rPr>
        <w:t>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</w:t>
      </w:r>
      <w:r>
        <w:rPr>
          <w:rFonts w:ascii="Arial" w:hAnsi="Arial" w:cs="Arial"/>
          <w:sz w:val="22"/>
          <w:szCs w:val="22"/>
        </w:rPr>
        <w:lastRenderedPageBreak/>
        <w:t>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6124" w14:textId="77777777" w:rsidR="00971A10" w:rsidRDefault="00971A10" w:rsidP="00E07382">
      <w:r>
        <w:separator/>
      </w:r>
    </w:p>
  </w:endnote>
  <w:endnote w:type="continuationSeparator" w:id="0">
    <w:p w14:paraId="6E595E1B" w14:textId="77777777" w:rsidR="00971A10" w:rsidRDefault="00971A10" w:rsidP="00E07382">
      <w:r>
        <w:continuationSeparator/>
      </w:r>
    </w:p>
  </w:endnote>
  <w:endnote w:type="continuationNotice" w:id="1">
    <w:p w14:paraId="352D9627" w14:textId="77777777" w:rsidR="00971A10" w:rsidRDefault="00971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FE" w14:textId="3284AA78" w:rsidR="00E34658" w:rsidRPr="00E34658" w:rsidRDefault="535EBFDB" w:rsidP="535EBFDB">
    <w:pPr>
      <w:pStyle w:val="Footer"/>
      <w:rPr>
        <w:rFonts w:ascii="Arial" w:hAnsi="Arial" w:cs="Arial"/>
        <w:i/>
        <w:iCs/>
        <w:sz w:val="20"/>
        <w:szCs w:val="20"/>
      </w:rPr>
    </w:pPr>
    <w:r w:rsidRPr="535EBFDB">
      <w:rPr>
        <w:rFonts w:ascii="Arial" w:hAnsi="Arial" w:cs="Arial"/>
        <w:i/>
        <w:iCs/>
        <w:sz w:val="20"/>
        <w:szCs w:val="20"/>
      </w:rPr>
      <w:t xml:space="preserve">Policies &amp; </w:t>
    </w:r>
    <w:r w:rsidRPr="00DF2474">
      <w:rPr>
        <w:rFonts w:ascii="Arial" w:hAnsi="Arial" w:cs="Arial"/>
        <w:i/>
        <w:iCs/>
        <w:sz w:val="20"/>
        <w:szCs w:val="20"/>
      </w:rPr>
      <w:t>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98A5" w14:textId="77777777" w:rsidR="00971A10" w:rsidRDefault="00971A10" w:rsidP="00E07382">
      <w:r>
        <w:separator/>
      </w:r>
    </w:p>
  </w:footnote>
  <w:footnote w:type="continuationSeparator" w:id="0">
    <w:p w14:paraId="2E297DD6" w14:textId="77777777" w:rsidR="00971A10" w:rsidRDefault="00971A10" w:rsidP="00E07382">
      <w:r>
        <w:continuationSeparator/>
      </w:r>
    </w:p>
  </w:footnote>
  <w:footnote w:type="continuationNotice" w:id="1">
    <w:p w14:paraId="45E8442F" w14:textId="77777777" w:rsidR="00971A10" w:rsidRDefault="00971A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0272EEA2" w:rsidR="535EBFDB" w:rsidRDefault="535EBFDB" w:rsidP="535EBFDB">
          <w:pPr>
            <w:pStyle w:val="Header"/>
            <w:ind w:left="-115"/>
          </w:pP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A72C4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74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purl.org/dc/dcmitype/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11</cp:revision>
  <cp:lastPrinted>2025-10-02T15:03:00Z</cp:lastPrinted>
  <dcterms:created xsi:type="dcterms:W3CDTF">2024-02-07T17:38:00Z</dcterms:created>
  <dcterms:modified xsi:type="dcterms:W3CDTF">2025-10-02T15:03:00Z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